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4E" w:rsidRDefault="005A494E" w:rsidP="005A494E">
      <w:pPr>
        <w:spacing w:after="0" w:line="216" w:lineRule="exact"/>
        <w:ind w:right="20" w:firstLine="180"/>
        <w:jc w:val="both"/>
        <w:rPr>
          <w:rFonts w:ascii="Tahoma" w:eastAsia="Times New Roman" w:hAnsi="Tahoma" w:cs="Tahoma"/>
          <w:bCs/>
          <w:sz w:val="17"/>
          <w:szCs w:val="17"/>
          <w:lang w:eastAsia="ru-RU"/>
        </w:rPr>
      </w:pPr>
    </w:p>
    <w:p w:rsidR="005A494E" w:rsidRDefault="005A494E" w:rsidP="005A494E">
      <w:pPr>
        <w:spacing w:after="0" w:line="216" w:lineRule="exact"/>
        <w:ind w:right="20" w:firstLine="180"/>
        <w:jc w:val="both"/>
        <w:rPr>
          <w:rFonts w:ascii="Tahoma" w:eastAsia="Times New Roman" w:hAnsi="Tahoma" w:cs="Tahoma"/>
          <w:bCs/>
          <w:sz w:val="17"/>
          <w:szCs w:val="17"/>
          <w:lang w:eastAsia="ru-RU"/>
        </w:rPr>
      </w:pPr>
    </w:p>
    <w:p w:rsidR="005A494E" w:rsidRDefault="005A494E" w:rsidP="005A494E">
      <w:pPr>
        <w:spacing w:after="0" w:line="216" w:lineRule="exact"/>
        <w:ind w:right="20" w:firstLine="180"/>
        <w:jc w:val="both"/>
        <w:rPr>
          <w:rFonts w:ascii="Tahoma" w:eastAsia="Times New Roman" w:hAnsi="Tahoma" w:cs="Tahoma"/>
          <w:bCs/>
          <w:sz w:val="17"/>
          <w:szCs w:val="17"/>
          <w:lang w:eastAsia="ru-RU"/>
        </w:rPr>
      </w:pPr>
    </w:p>
    <w:p w:rsidR="005A494E" w:rsidRDefault="005A494E" w:rsidP="005A494E">
      <w:pPr>
        <w:spacing w:after="0" w:line="216" w:lineRule="exact"/>
        <w:ind w:right="20" w:firstLine="180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5A494E" w:rsidRPr="005A494E" w:rsidRDefault="005A494E" w:rsidP="005A494E">
      <w:pPr>
        <w:spacing w:after="0" w:line="216" w:lineRule="exact"/>
        <w:ind w:right="20" w:firstLine="180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5A494E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Поддержка сельскохозяйственных потребительских кооперативов </w:t>
      </w:r>
    </w:p>
    <w:p w:rsidR="005A494E" w:rsidRDefault="005A494E" w:rsidP="005A494E">
      <w:pPr>
        <w:spacing w:after="0" w:line="216" w:lineRule="exact"/>
        <w:ind w:right="20" w:firstLine="180"/>
        <w:jc w:val="both"/>
        <w:rPr>
          <w:rFonts w:ascii="Tahoma" w:eastAsia="Times New Roman" w:hAnsi="Tahoma" w:cs="Tahoma"/>
          <w:bCs/>
          <w:sz w:val="17"/>
          <w:szCs w:val="17"/>
          <w:lang w:eastAsia="ru-RU"/>
        </w:rPr>
      </w:pPr>
    </w:p>
    <w:p w:rsidR="005A494E" w:rsidRPr="00A00957" w:rsidRDefault="005A494E" w:rsidP="005A494E">
      <w:pPr>
        <w:spacing w:after="0" w:line="216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К категории получателей субсидии относятся сельскохозяйственные потребительские коопе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ративы (за исключением сельскохозяйственно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го потребительского кредитного кооператива): созданные в соответствии с 1ЭЗ-ФЗ; зарегистри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рованные и осуществляющие деятельность на сельской территории или территории сельской агломерации Р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еспублики 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Б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>урятия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; являющиеся субъектом малого или среднего предпринимательства (входят в Ре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естр МСП); в состав входят не менее 5 ЛПХ и (или) 3 иных СХТП (кроме ассоциированных членов).</w:t>
      </w:r>
      <w:proofErr w:type="gramEnd"/>
    </w:p>
    <w:p w:rsidR="005A494E" w:rsidRPr="00A00957" w:rsidRDefault="005A494E" w:rsidP="005A494E">
      <w:pPr>
        <w:spacing w:after="0" w:line="216" w:lineRule="exact"/>
        <w:ind w:right="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Члены сельскохозяйственного потребительско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го кооператива отвечают критериям микро- или малого предприятия, установленным ФЗ «О раз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витии малого и среднего предпринимательства в РФ».</w:t>
      </w:r>
    </w:p>
    <w:p w:rsidR="005A494E" w:rsidRPr="00A00957" w:rsidRDefault="005A494E" w:rsidP="005A494E">
      <w:pPr>
        <w:spacing w:after="0" w:line="216" w:lineRule="exact"/>
        <w:ind w:right="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Направление субсидирования: закуп сырья у членов СПОК, приобретение оборудования, сель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хозтехники и транспорта, приобретение имуще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ства для передачи членам СПОК.</w:t>
      </w:r>
    </w:p>
    <w:p w:rsidR="005A494E" w:rsidRPr="00A00957" w:rsidRDefault="005A494E" w:rsidP="005A494E">
      <w:pPr>
        <w:spacing w:after="0" w:line="216" w:lineRule="exact"/>
        <w:ind w:right="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t>В целях приобретения и последующего вне</w:t>
      </w: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softHyphen/>
        <w:t>сения в неделимый фонд с/</w:t>
      </w:r>
      <w:proofErr w:type="spellStart"/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t>х</w:t>
      </w:r>
      <w:proofErr w:type="spellEnd"/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техники, </w:t>
      </w:r>
      <w:proofErr w:type="spellStart"/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t>спецав</w:t>
      </w: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softHyphen/>
        <w:t>тотранспорта</w:t>
      </w:r>
      <w:proofErr w:type="spellEnd"/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t>, оборудования для организации хранения, переработки, упаковки, маркировки, транспортировки и реализации с/</w:t>
      </w:r>
      <w:proofErr w:type="spellStart"/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t>х</w:t>
      </w:r>
      <w:proofErr w:type="spellEnd"/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продукции и мобильных торговых объектов для оказания услуг членам СП</w:t>
      </w:r>
      <w:r>
        <w:rPr>
          <w:rFonts w:ascii="Tahoma" w:eastAsia="Times New Roman" w:hAnsi="Tahoma" w:cs="Tahoma"/>
          <w:bCs/>
          <w:sz w:val="18"/>
          <w:szCs w:val="18"/>
          <w:lang w:eastAsia="ru-RU"/>
        </w:rPr>
        <w:t>О</w:t>
      </w: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t>К предоставляются дополни</w:t>
      </w: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softHyphen/>
        <w:t>тельные условия:</w:t>
      </w:r>
    </w:p>
    <w:p w:rsidR="005A494E" w:rsidRPr="00A00957" w:rsidRDefault="005A494E" w:rsidP="005A494E">
      <w:pPr>
        <w:spacing w:after="0" w:line="216" w:lineRule="exact"/>
        <w:ind w:right="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размер субсидии не превышает 50% произве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денных затрат, но не более 10 млн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>.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руб. из рас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чета на один кооператив; срок эксплуатации тех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ники, оборудования и объектов на день получения средств не должен превышать 3-х лет с года его производства.</w:t>
      </w:r>
    </w:p>
    <w:p w:rsidR="005A494E" w:rsidRPr="00A00957" w:rsidRDefault="005A494E" w:rsidP="005A494E">
      <w:pPr>
        <w:spacing w:after="0" w:line="216" w:lineRule="exact"/>
        <w:ind w:right="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t>На цели, связанные с приобретением имуще</w:t>
      </w: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softHyphen/>
        <w:t>ства в целях последующей передачи (реализа</w:t>
      </w: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softHyphen/>
        <w:t>ции) приобретенного имущества в собствен</w:t>
      </w: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softHyphen/>
        <w:t>ность членов, дополнительные условия:</w:t>
      </w:r>
    </w:p>
    <w:p w:rsidR="005A494E" w:rsidRPr="00A00957" w:rsidRDefault="005A494E" w:rsidP="005A494E">
      <w:pPr>
        <w:spacing w:after="0" w:line="216" w:lineRule="exact"/>
        <w:ind w:right="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размер субсидии не превышает 50 % произве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денных затрат, но не более 3 млн</w:t>
      </w:r>
      <w:r>
        <w:rPr>
          <w:rFonts w:ascii="Tahoma" w:eastAsia="Times New Roman" w:hAnsi="Tahoma" w:cs="Tahoma"/>
          <w:bCs/>
          <w:sz w:val="17"/>
          <w:szCs w:val="17"/>
          <w:lang w:eastAsia="ru-RU"/>
        </w:rPr>
        <w:t>.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руб. из расчета</w:t>
      </w:r>
    </w:p>
    <w:p w:rsidR="005A494E" w:rsidRPr="00A00957" w:rsidRDefault="005A494E" w:rsidP="005A494E">
      <w:pPr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на один кооператив; стоимость имущества, пере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даваемого (реализуемого) в собственность одно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го члена кооператива, не превышает 30 % общей стоимости данного имущества.</w:t>
      </w:r>
    </w:p>
    <w:p w:rsidR="005A494E" w:rsidRPr="00A00957" w:rsidRDefault="005A494E" w:rsidP="005A494E">
      <w:pPr>
        <w:spacing w:after="0" w:line="216" w:lineRule="exact"/>
        <w:ind w:left="20" w:right="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t>С целью закупа сельскохозяйственной про</w:t>
      </w: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softHyphen/>
        <w:t>дукции у членов сельскохозяйственного по</w:t>
      </w:r>
      <w:r w:rsidRPr="00A00957">
        <w:rPr>
          <w:rFonts w:ascii="Tahoma" w:eastAsia="Times New Roman" w:hAnsi="Tahoma" w:cs="Tahoma"/>
          <w:bCs/>
          <w:sz w:val="18"/>
          <w:szCs w:val="18"/>
          <w:lang w:eastAsia="ru-RU"/>
        </w:rPr>
        <w:softHyphen/>
        <w:t xml:space="preserve">требительского кооператива дополнительные условия: 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размер субсидии не превышает 10 % затрат, если выручка от реализации про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 xml:space="preserve">дукции, закупленной у членов </w:t>
      </w:r>
      <w:proofErr w:type="spellStart"/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СПоК</w:t>
      </w:r>
      <w:proofErr w:type="spellEnd"/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 xml:space="preserve"> по итогам отчетного бухгалтерского периода (квартала) те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кущего финансового года, за который предостав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ляется возмещение части затрат, составляет от 100 тыс. рублей до 5000 тыс. рублей включитель</w:t>
      </w: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softHyphen/>
        <w:t>но;</w:t>
      </w:r>
      <w:proofErr w:type="gramEnd"/>
    </w:p>
    <w:p w:rsidR="005A494E" w:rsidRPr="00A00957" w:rsidRDefault="005A494E" w:rsidP="005A494E">
      <w:pPr>
        <w:spacing w:after="0" w:line="216" w:lineRule="exact"/>
        <w:ind w:left="20" w:right="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12 % затрат, если выручка составляет от 5001 тыс. рублей до 25000 тыс. рублей включительно;</w:t>
      </w:r>
    </w:p>
    <w:p w:rsidR="005A494E" w:rsidRPr="00A00957" w:rsidRDefault="005A494E" w:rsidP="005A494E">
      <w:pPr>
        <w:spacing w:after="0" w:line="216" w:lineRule="exact"/>
        <w:ind w:left="20" w:right="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57">
        <w:rPr>
          <w:rFonts w:ascii="Tahoma" w:eastAsia="Times New Roman" w:hAnsi="Tahoma" w:cs="Tahoma"/>
          <w:bCs/>
          <w:sz w:val="17"/>
          <w:szCs w:val="17"/>
          <w:lang w:eastAsia="ru-RU"/>
        </w:rPr>
        <w:t>15 % затрат, если выручка составляет более 25000 тыс. рублей.</w:t>
      </w:r>
    </w:p>
    <w:p w:rsidR="005A494E" w:rsidRDefault="005A494E" w:rsidP="005A494E"/>
    <w:p w:rsidR="00BA2545" w:rsidRDefault="00BA2545"/>
    <w:sectPr w:rsidR="00BA2545" w:rsidSect="0047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5A494E"/>
    <w:rsid w:val="005A494E"/>
    <w:rsid w:val="00BA2545"/>
    <w:rsid w:val="00D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2024-03-14T05:44:00Z</dcterms:created>
  <dcterms:modified xsi:type="dcterms:W3CDTF">2024-03-14T06:13:00Z</dcterms:modified>
</cp:coreProperties>
</file>